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spacing w:after="0" w:before="40" w:line="360" w:lineRule="auto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Flood</w:t>
      </w:r>
    </w:p>
    <w:p w:rsidR="00000000" w:rsidDel="00000000" w:rsidP="00000000" w:rsidRDefault="00000000" w:rsidRPr="00000000" w14:paraId="00000002">
      <w:pPr>
        <w:rPr/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  <w:t xml:space="preserve">Priorities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Control spread of water; if burst pipe, isolate water supplies at nearest source and repair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Minimize disruption to facility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Implement clean-up operations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bookmarkStart w:colFirst="0" w:colLast="0" w:name="_heading=h.1fob9te" w:id="2"/>
      <w:bookmarkEnd w:id="2"/>
      <w:r w:rsidDel="00000000" w:rsidR="00000000" w:rsidRPr="00000000">
        <w:rPr>
          <w:rtl w:val="0"/>
        </w:rPr>
        <w:t xml:space="preserve">Procedure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Assess rate of water flow and likely areas to flood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Contact Maintenance Manager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Turn off water supply at nearest stopcock(mains if all else fails)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Call plumbing services to repair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Contact electrician to assess for danger of water contact with electrical sockets and equipment. Isolate power in area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Erect temporary barricades to control spread of water (e.g. towels or linen)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Call emergency services if scale of flood warrants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Organize clean-up operation (if sewage consider viral infection risk)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Take necessary steps to minimize employee and guest inconvenience and adverse hospitality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Record separately related costs and photograph affected areas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Advise Security, Engineering Operations, and Corporate Communications.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1"/>
        <w:rPr/>
      </w:pPr>
      <w:bookmarkStart w:colFirst="0" w:colLast="0" w:name="_heading=h.4o3qs5dfmgv" w:id="3"/>
      <w:bookmarkEnd w:id="3"/>
      <w:r w:rsidDel="00000000" w:rsidR="00000000" w:rsidRPr="00000000">
        <w:rPr>
          <w:rtl w:val="0"/>
        </w:rPr>
        <w:t xml:space="preserve">Additional Suggestions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If the property history indicates flooding or drainage failures, a supply of sandbags should be made available, to protect entrance, cellar doors or car park ramps etc.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bookmarkStart w:colFirst="0" w:colLast="0" w:name="_heading=h.3znysh7" w:id="4"/>
      <w:bookmarkEnd w:id="4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Consider contamination risk from sewage in flood water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 w:val="1"/>
    <w:rsid w:val="0059075B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sxxKbJiw+Lrkq3Egn46eoFjZzg==">AMUW2mWhL0e56EJ095/JnhbCMP6QPcisGWF5r2XmmJ8ocVuPT7nc5AMiyPZGAEwEL4Lpa0n9qR6WraSJlmC9ehPCthsH9YNerYOW4zN5gxEB4qCurRZy9UU9w2rT4S/WwHO0nM3HswX/T6Paw/qLgSkIplkPreRUWwRj2ngGnKnk7K0S36DxIzOUqrBn2P4nckMQCTu9lh4i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2022-10-12T16:06:00Z</dcterms:created>
</cp:coreProperties>
</file>